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518CF" w14:textId="77777777" w:rsidR="00C373BB" w:rsidRDefault="00C373BB">
      <w:pPr>
        <w:rPr>
          <w:noProof/>
        </w:rPr>
      </w:pPr>
    </w:p>
    <w:p w14:paraId="0DEFD819" w14:textId="557B4A10" w:rsidR="003618CD" w:rsidRDefault="00C373BB">
      <w:r>
        <w:rPr>
          <w:noProof/>
        </w:rPr>
        <w:drawing>
          <wp:inline distT="0" distB="0" distL="0" distR="0" wp14:anchorId="62C9BCBF" wp14:editId="31E5F699">
            <wp:extent cx="5937885" cy="2008414"/>
            <wp:effectExtent l="0" t="0" r="5715" b="0"/>
            <wp:docPr id="19484806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00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477AFC" w14:textId="3B90BABA" w:rsidR="00C373BB" w:rsidRPr="00C373BB" w:rsidRDefault="00C373BB" w:rsidP="00C373BB">
      <w:pPr>
        <w:jc w:val="both"/>
        <w:rPr>
          <w:rFonts w:ascii="Minion Pro" w:hAnsi="Minion Pro"/>
          <w:sz w:val="22"/>
          <w:szCs w:val="22"/>
        </w:rPr>
      </w:pPr>
      <w:r w:rsidRPr="00C373BB">
        <w:rPr>
          <w:rFonts w:ascii="Minion Pro" w:hAnsi="Minion Pro"/>
          <w:b/>
          <w:bCs/>
          <w:sz w:val="22"/>
          <w:szCs w:val="22"/>
        </w:rPr>
        <w:t>Supplementary Fig</w:t>
      </w:r>
      <w:r w:rsidR="000C29FB">
        <w:rPr>
          <w:rFonts w:ascii="Minion Pro" w:hAnsi="Minion Pro"/>
          <w:b/>
          <w:bCs/>
          <w:sz w:val="22"/>
          <w:szCs w:val="22"/>
        </w:rPr>
        <w:t>ure</w:t>
      </w:r>
      <w:r w:rsidRPr="00C373BB">
        <w:rPr>
          <w:rFonts w:ascii="Minion Pro" w:hAnsi="Minion Pro"/>
          <w:b/>
          <w:bCs/>
          <w:sz w:val="22"/>
          <w:szCs w:val="22"/>
        </w:rPr>
        <w:t xml:space="preserve"> S</w:t>
      </w:r>
      <w:r w:rsidR="00211FA3">
        <w:rPr>
          <w:rFonts w:ascii="Minion Pro" w:hAnsi="Minion Pro"/>
          <w:b/>
          <w:bCs/>
          <w:sz w:val="22"/>
          <w:szCs w:val="22"/>
        </w:rPr>
        <w:t>2</w:t>
      </w:r>
      <w:r w:rsidRPr="00C373BB">
        <w:rPr>
          <w:rFonts w:ascii="Minion Pro" w:hAnsi="Minion Pro"/>
          <w:b/>
          <w:bCs/>
          <w:sz w:val="22"/>
          <w:szCs w:val="22"/>
        </w:rPr>
        <w:t>:</w:t>
      </w:r>
      <w:r w:rsidRPr="00C373BB">
        <w:rPr>
          <w:rFonts w:ascii="Minion Pro" w:hAnsi="Minion Pro"/>
          <w:sz w:val="22"/>
          <w:szCs w:val="22"/>
        </w:rPr>
        <w:t xml:space="preserve"> Scree plots for the CLL and MM RNA-seq datasets.</w:t>
      </w:r>
    </w:p>
    <w:p w14:paraId="3E2874E6" w14:textId="734E8E32" w:rsidR="00C373BB" w:rsidRPr="00C373BB" w:rsidRDefault="00C373BB" w:rsidP="00C373BB">
      <w:pPr>
        <w:jc w:val="both"/>
        <w:rPr>
          <w:rFonts w:ascii="Minion Pro" w:hAnsi="Minion Pro"/>
          <w:sz w:val="22"/>
          <w:szCs w:val="22"/>
        </w:rPr>
      </w:pPr>
      <w:r w:rsidRPr="00C373BB">
        <w:rPr>
          <w:rFonts w:ascii="Minion Pro" w:hAnsi="Minion Pro"/>
          <w:sz w:val="22"/>
          <w:szCs w:val="22"/>
        </w:rPr>
        <w:t xml:space="preserve">(A) CLL dataset; (B) MM dataset. Bars indicate the percentage of variation explained by each principal component, and the red line indicates cumulative explained variation. Dashed vertical lines mark the component-selection points identified using Horn’s parallel analysis and the elbow criterion. These plots were used to </w:t>
      </w:r>
      <w:r>
        <w:rPr>
          <w:rFonts w:ascii="Minion Pro" w:hAnsi="Minion Pro"/>
          <w:sz w:val="22"/>
          <w:szCs w:val="22"/>
        </w:rPr>
        <w:t>assess the variance structure of the transformed expression matrices prior to</w:t>
      </w:r>
      <w:r w:rsidRPr="00C373BB">
        <w:rPr>
          <w:rFonts w:ascii="Minion Pro" w:hAnsi="Minion Pro"/>
          <w:sz w:val="22"/>
          <w:szCs w:val="22"/>
        </w:rPr>
        <w:t xml:space="preserve"> downstream exploratory analyses. CLL, chronic lymphocytic leukemia; MM, multiple myeloma; RNA-seq, RNA sequencing.</w:t>
      </w:r>
    </w:p>
    <w:sectPr w:rsidR="00C373BB" w:rsidRPr="00C373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 Pro">
    <w:altName w:val="Calibri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B46"/>
    <w:rsid w:val="00002B9A"/>
    <w:rsid w:val="000C29FB"/>
    <w:rsid w:val="001F709C"/>
    <w:rsid w:val="00211FA3"/>
    <w:rsid w:val="002B56A1"/>
    <w:rsid w:val="002C0224"/>
    <w:rsid w:val="003618CD"/>
    <w:rsid w:val="003953DB"/>
    <w:rsid w:val="00410B46"/>
    <w:rsid w:val="00785848"/>
    <w:rsid w:val="008E432C"/>
    <w:rsid w:val="00B06D62"/>
    <w:rsid w:val="00C373BB"/>
    <w:rsid w:val="00D1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22327"/>
  <w15:chartTrackingRefBased/>
  <w15:docId w15:val="{63169C74-235C-4FB9-91AA-CE538483C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0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0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B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B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B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B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0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0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0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0B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0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0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0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0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0B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0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0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0B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Tondar</dc:creator>
  <cp:keywords/>
  <dc:description/>
  <cp:lastModifiedBy>Shima Tondar</cp:lastModifiedBy>
  <cp:revision>4</cp:revision>
  <dcterms:created xsi:type="dcterms:W3CDTF">2026-06-17T06:34:00Z</dcterms:created>
  <dcterms:modified xsi:type="dcterms:W3CDTF">2026-06-17T08:34:00Z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28503cd9-80e3-4342-bbec-4aed3a844edc</vt:lpwstr>
  </property>
</Properties>
</file>